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2AFFE9A4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871B8C">
        <w:rPr>
          <w:rFonts w:ascii="Times New Roman" w:hAnsi="Times New Roman"/>
          <w:b/>
          <w:sz w:val="24"/>
          <w:szCs w:val="24"/>
        </w:rPr>
        <w:t>БН_/П/_/___</w:t>
      </w:r>
      <w:r w:rsidR="005A6CA0">
        <w:rPr>
          <w:rFonts w:ascii="Times New Roman" w:hAnsi="Times New Roman"/>
          <w:b/>
          <w:sz w:val="24"/>
          <w:szCs w:val="24"/>
        </w:rPr>
        <w:t>/25</w:t>
      </w:r>
      <w:r w:rsidR="00265439" w:rsidRPr="00265439">
        <w:rPr>
          <w:rFonts w:ascii="Times New Roman" w:hAnsi="Times New Roman"/>
          <w:b/>
          <w:sz w:val="24"/>
          <w:szCs w:val="24"/>
        </w:rPr>
        <w:t>/МТС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CEBD4B2" w14:textId="371B981D" w:rsidR="00C0430C" w:rsidRPr="00C0430C" w:rsidRDefault="00C0430C" w:rsidP="001436CA">
      <w:pPr>
        <w:pStyle w:val="a5"/>
      </w:pPr>
      <w:r w:rsidRPr="00C0430C">
        <w:t xml:space="preserve">г. </w:t>
      </w:r>
      <w:r w:rsidR="004B39C1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4B39C1">
        <w:t xml:space="preserve">           </w:t>
      </w:r>
      <w:proofErr w:type="gramStart"/>
      <w:r w:rsidR="004B39C1">
        <w:t xml:space="preserve">  </w:t>
      </w:r>
      <w:r w:rsidRPr="00C0430C">
        <w:t xml:space="preserve"> «</w:t>
      </w:r>
      <w:proofErr w:type="gramEnd"/>
      <w:r w:rsidR="004B39C1">
        <w:t>____</w:t>
      </w:r>
      <w:r w:rsidRPr="00C0430C">
        <w:t>»</w:t>
      </w:r>
      <w:r w:rsidR="004B39C1">
        <w:t xml:space="preserve"> _______</w:t>
      </w:r>
      <w:r w:rsidR="001436CA">
        <w:t xml:space="preserve">  </w:t>
      </w:r>
      <w:r w:rsidRPr="00C0430C">
        <w:t>20</w:t>
      </w:r>
      <w:r w:rsidR="005A6CA0">
        <w:t>25</w:t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2CE38230" w:rsidR="00D502CA" w:rsidRPr="00D502CA" w:rsidRDefault="00871B8C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t>____________________________________</w:t>
      </w:r>
      <w:r w:rsidR="00265439" w:rsidRPr="00FF6399">
        <w:t xml:space="preserve">, именуемое в дальнейшем </w:t>
      </w:r>
      <w:r w:rsidR="00265439" w:rsidRPr="00871B8C">
        <w:rPr>
          <w:b/>
        </w:rPr>
        <w:t>Продавец,</w:t>
      </w:r>
      <w:r w:rsidR="00265439" w:rsidRPr="00FF6399">
        <w:t xml:space="preserve"> в лице </w:t>
      </w:r>
      <w:r>
        <w:t xml:space="preserve">_____________________________ с </w:t>
      </w:r>
      <w:r w:rsidR="00C0430C" w:rsidRPr="00C0430C">
        <w:t>одной стороны,</w:t>
      </w:r>
      <w:r w:rsidR="00C0430C" w:rsidRPr="00C0430C">
        <w:rPr>
          <w:rStyle w:val="a4"/>
        </w:rPr>
        <w:t xml:space="preserve"> и </w:t>
      </w:r>
      <w:r>
        <w:rPr>
          <w:rStyle w:val="a4"/>
        </w:rPr>
        <w:t>_____________________</w:t>
      </w:r>
      <w:r w:rsidR="00265439" w:rsidRPr="0028166C">
        <w:rPr>
          <w:rStyle w:val="a4"/>
        </w:rPr>
        <w:t xml:space="preserve">, именуемое в дальнейшем </w:t>
      </w:r>
      <w:r w:rsidR="00265439" w:rsidRPr="005B7923">
        <w:rPr>
          <w:rStyle w:val="a4"/>
          <w:b/>
        </w:rPr>
        <w:t>Покупатель</w:t>
      </w:r>
      <w:r w:rsidR="00265439" w:rsidRPr="0028166C">
        <w:rPr>
          <w:rStyle w:val="a4"/>
        </w:rPr>
        <w:t xml:space="preserve"> в лице </w:t>
      </w:r>
      <w:r>
        <w:rPr>
          <w:rStyle w:val="a4"/>
        </w:rPr>
        <w:t>_______________________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rPr>
          <w:rStyle w:val="a4"/>
        </w:rPr>
        <w:t>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3136A9BB" w14:textId="6A5B1C27" w:rsidR="00B4522F" w:rsidRPr="00871B8C" w:rsidRDefault="00C0430C" w:rsidP="00871B8C">
      <w:pPr>
        <w:pStyle w:val="a9"/>
        <w:spacing w:after="0"/>
        <w:ind w:left="0"/>
        <w:jc w:val="both"/>
        <w:rPr>
          <w:b/>
        </w:rPr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871B8C" w:rsidRPr="00B66B2A">
        <w:t xml:space="preserve">осуществляется в </w:t>
      </w:r>
      <w:r w:rsidR="005F0C4F">
        <w:t>течение 9</w:t>
      </w:r>
      <w:r w:rsidR="00871B8C">
        <w:t xml:space="preserve">0 рабочих дней с момента поступления 100% предварительной оплаты за ТМЦ на расчетный счет </w:t>
      </w:r>
      <w:r w:rsidR="00871B8C">
        <w:rPr>
          <w:b/>
        </w:rPr>
        <w:t xml:space="preserve">Продавца </w:t>
      </w:r>
      <w:r w:rsidR="00871B8C" w:rsidRPr="00D06C89">
        <w:t>на основании первичных документов</w:t>
      </w:r>
      <w:r w:rsidR="00871B8C">
        <w:t>, оформленных согласно п.5.2.2. настоящего Договора.</w:t>
      </w:r>
      <w:r w:rsidR="00871B8C">
        <w:rPr>
          <w:b/>
        </w:rPr>
        <w:t xml:space="preserve"> </w:t>
      </w:r>
      <w:r w:rsidR="003D5453">
        <w:t>МТР передаются на складе Продавца, в месте нахождения МТР, путем выборки МТР Покупателем.</w:t>
      </w:r>
    </w:p>
    <w:p w14:paraId="1EBD2614" w14:textId="79D8ECD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F457FC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</w:t>
      </w:r>
      <w:r w:rsidR="00F205AA" w:rsidRPr="00D64F45">
        <w:lastRenderedPageBreak/>
        <w:t xml:space="preserve">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BD8A625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366C2">
        <w:t xml:space="preserve">5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9D595A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7322E8">
        <w:t xml:space="preserve">в порядке 100% предварительной оплаты </w:t>
      </w:r>
      <w:r w:rsidR="00F457FC" w:rsidRPr="00F457FC">
        <w:t>стоимости всех МТР, указанных в Спецификации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D555751" w:rsidR="00D502CA" w:rsidRDefault="00C0430C" w:rsidP="00F457FC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35F50">
        <w:rPr>
          <w:rFonts w:ascii="Times New Roman" w:hAnsi="Times New Roman"/>
          <w:color w:val="000000"/>
          <w:sz w:val="24"/>
          <w:szCs w:val="24"/>
        </w:rPr>
        <w:t>15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F457FC" w:rsidRPr="00F457FC">
        <w:rPr>
          <w:rFonts w:ascii="Times New Roman" w:hAnsi="Times New Roman"/>
          <w:color w:val="000000"/>
          <w:sz w:val="24"/>
          <w:szCs w:val="24"/>
        </w:rPr>
        <w:t>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 xml:space="preserve">443011, Самарская область, г. Самара, ул. Советской армии, 243, Филиал ООО «РН-Учет» в г. Самара, (Центр обработки запросов), а также на адрес электронной почты: </w:t>
      </w:r>
      <w:r w:rsidR="005D4527">
        <w:rPr>
          <w:rFonts w:ascii="Times New Roman" w:hAnsi="Times New Roman"/>
          <w:color w:val="000000"/>
          <w:sz w:val="24"/>
          <w:szCs w:val="24"/>
        </w:rPr>
        <w:t>_______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>.</w:t>
      </w:r>
    </w:p>
    <w:p w14:paraId="7F45469C" w14:textId="77777777" w:rsidR="00F457FC" w:rsidRDefault="00F457FC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50E51436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1FB183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</w:t>
      </w:r>
      <w:r w:rsidRPr="00D64F45">
        <w:rPr>
          <w:rFonts w:ascii="Times New Roman" w:hAnsi="Times New Roman"/>
          <w:bCs/>
          <w:sz w:val="24"/>
          <w:szCs w:val="24"/>
        </w:rPr>
        <w:lastRenderedPageBreak/>
        <w:t>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>объектового режимов</w:t>
      </w:r>
      <w:r w:rsidR="007A2947">
        <w:rPr>
          <w:rFonts w:ascii="Times New Roman" w:hAnsi="Times New Roman"/>
          <w:bCs/>
          <w:sz w:val="24"/>
          <w:szCs w:val="24"/>
        </w:rPr>
        <w:t>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48EC7AC8" w14:textId="6844E47C" w:rsidR="00EC45A8" w:rsidRPr="00EC45A8" w:rsidRDefault="00EC45A8" w:rsidP="00EC45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        </w:t>
      </w:r>
      <w:r w:rsidRPr="00EC45A8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№2;</w:t>
      </w:r>
    </w:p>
    <w:p w14:paraId="4034AB8C" w14:textId="5430F121" w:rsidR="00C0430C" w:rsidRPr="00C0430C" w:rsidRDefault="00EC45A8" w:rsidP="00EC4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5A8">
        <w:rPr>
          <w:rFonts w:ascii="Times New Roman" w:hAnsi="Times New Roman"/>
          <w:i/>
          <w:sz w:val="24"/>
          <w:szCs w:val="24"/>
        </w:rPr>
        <w:t>-</w:t>
      </w:r>
      <w:r w:rsidRPr="00EC45A8">
        <w:rPr>
          <w:rFonts w:ascii="Times New Roman" w:hAnsi="Times New Roman"/>
          <w:i/>
          <w:sz w:val="24"/>
          <w:szCs w:val="24"/>
        </w:rPr>
        <w:tab/>
      </w:r>
      <w:r w:rsidRPr="00EC45A8">
        <w:rPr>
          <w:rFonts w:ascii="Times New Roman" w:hAnsi="Times New Roman"/>
          <w:sz w:val="24"/>
          <w:szCs w:val="24"/>
        </w:rPr>
        <w:t>счет-фактуру</w:t>
      </w:r>
      <w:r w:rsidRPr="00EC45A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75D3F">
        <w:rPr>
          <w:rFonts w:ascii="Times New Roman" w:hAnsi="Times New Roman"/>
          <w:sz w:val="24"/>
          <w:szCs w:val="24"/>
        </w:rPr>
        <w:t xml:space="preserve"> течение 5-ти </w:t>
      </w:r>
      <w:r>
        <w:rPr>
          <w:rFonts w:ascii="Times New Roman" w:hAnsi="Times New Roman"/>
          <w:sz w:val="24"/>
          <w:szCs w:val="24"/>
        </w:rPr>
        <w:t>рабочих дней после передачи ТМЦ, но не позднее 3 (третьего) числа месяца, следующего за отчетным</w:t>
      </w:r>
      <w:r w:rsidR="007A2947">
        <w:rPr>
          <w:rFonts w:ascii="Times New Roman" w:hAnsi="Times New Roman"/>
          <w:sz w:val="24"/>
          <w:szCs w:val="24"/>
        </w:rPr>
        <w:t>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486636EC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1366C2">
        <w:rPr>
          <w:rFonts w:ascii="Times New Roman" w:hAnsi="Times New Roman"/>
          <w:sz w:val="24"/>
          <w:szCs w:val="24"/>
        </w:rPr>
        <w:t>1 (один)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696A393D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EC45A8" w:rsidRPr="00EC45A8">
        <w:rPr>
          <w:i/>
        </w:rPr>
        <w:t xml:space="preserve">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EC45A8" w:rsidRPr="00EC45A8">
        <w:t>10%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7A2947">
        <w:t>П</w:t>
      </w:r>
      <w:r w:rsidR="00A44E0C" w:rsidRPr="00A44E0C">
        <w:t xml:space="preserve">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E1217B0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EC45A8">
        <w:t xml:space="preserve">, но не более </w:t>
      </w:r>
      <w:r w:rsidR="00EC45A8" w:rsidRPr="00EC45A8">
        <w:t>10%</w:t>
      </w:r>
      <w:r w:rsidR="00EC45A8">
        <w:rPr>
          <w:i/>
        </w:rPr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0E0BCC7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>риск случайно</w:t>
      </w:r>
      <w:r w:rsidR="007A2947">
        <w:t>й</w:t>
      </w:r>
      <w:r w:rsidR="00EC2859">
        <w:t xml:space="preserve">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F69B8D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EC45A8" w:rsidRPr="00EC45A8">
        <w:t>50 000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269FD9FD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</w:t>
      </w:r>
      <w:r w:rsidR="004B39C1">
        <w:t xml:space="preserve"> безопасности или промышленной</w:t>
      </w:r>
      <w:r w:rsidR="00116B79">
        <w:t xml:space="preserve"> </w:t>
      </w:r>
      <w:proofErr w:type="gramStart"/>
      <w:r w:rsidRPr="00C0430C">
        <w:t>санитарии</w:t>
      </w:r>
      <w:proofErr w:type="gramEnd"/>
      <w:r w:rsidR="00C52B42">
        <w:t xml:space="preserve"> </w:t>
      </w:r>
      <w:r w:rsidR="00756E67">
        <w:t>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061F43D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81681A">
        <w:rPr>
          <w:color w:val="000000"/>
        </w:rPr>
        <w:t>1000</w:t>
      </w:r>
      <w:r w:rsidR="00EC45A8" w:rsidRPr="00EC45A8">
        <w:t xml:space="preserve"> 000 (</w:t>
      </w:r>
      <w:r w:rsidR="0081681A">
        <w:t>один миллион) р</w:t>
      </w:r>
      <w:r w:rsidRPr="00C0430C">
        <w:rPr>
          <w:color w:val="000000"/>
        </w:rPr>
        <w:t>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B09A20C" w14:textId="15DF32E7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="00A4499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61732" w14:textId="77777777" w:rsidR="0081681A" w:rsidRPr="00184364" w:rsidRDefault="0081681A" w:rsidP="0081681A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r w:rsidRPr="00481B88">
        <w:rPr>
          <w:rFonts w:ascii="Times New Roman" w:hAnsi="Times New Roman" w:cs="Times New Roman"/>
          <w:sz w:val="24"/>
          <w:szCs w:val="24"/>
        </w:rPr>
        <w:t>За несвоевременное представление Продавцом Покупателю надлежащим образом оформленных первичных документов и счетов-фактур (в том числе оригиналов первичных документов и счетов-фактур) в соответствии с условиями Договора и требованиями действующего законодательства, Покупатель вправе по каждому факту нарушения потребовать, а Продавец обязуется по требованию Покупателя выплатить Покупателю неустойку в размере 1% (одного процента) от суммы несвоевременно представленного первичного документа. Выплата неустойки не освобождает Продавца от обязанности по представлению надлежащим образом оформленных первичных документов и счетов-фактур.</w:t>
      </w:r>
    </w:p>
    <w:p w14:paraId="2EB089DB" w14:textId="3C3CABCF" w:rsidR="0081681A" w:rsidRPr="00184364" w:rsidRDefault="0081681A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17EC42E5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5DB0C1BE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B1280F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4BD8378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C01CF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C01CF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>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C01CF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A0CA0E3" w:rsidR="00C0430C" w:rsidRPr="00C0430C" w:rsidRDefault="00C0430C" w:rsidP="00C01CFB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456ACB">
        <w:t>по 31 декабря</w:t>
      </w:r>
      <w:r w:rsidR="006B6C02">
        <w:t xml:space="preserve"> 2024г.</w:t>
      </w:r>
      <w:r w:rsidR="00456ACB">
        <w:t xml:space="preserve">, но </w:t>
      </w:r>
      <w:r w:rsidRPr="00C0430C">
        <w:t xml:space="preserve">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05CB311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.4. В случае неисполнения в срок обязательства по предварительной оплате, не</w:t>
      </w:r>
      <w:r w:rsidR="0081681A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2A8FED89" w14:textId="77777777" w:rsidR="005A653F" w:rsidRDefault="005A653F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14:paraId="7FF0FD8F" w14:textId="46CC66C8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31E8873C" w14:textId="77777777" w:rsidR="00C01CFB" w:rsidRDefault="00F957BB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01338E58" w:rsidR="00C0430C" w:rsidRPr="00C0430C" w:rsidRDefault="00C0430C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4C52DBE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787B89" w14:textId="10BC582A" w:rsidR="0081681A" w:rsidRDefault="0081681A" w:rsidP="0036546E">
      <w:pPr>
        <w:pStyle w:val="a3"/>
        <w:ind w:left="567"/>
      </w:pPr>
      <w:r>
        <w:t>Приложение №1.1-Спецификация;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216F1E16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3EE1F50E" w14:textId="0F234642" w:rsidR="0081681A" w:rsidRDefault="0081681A" w:rsidP="0036546E">
      <w:pPr>
        <w:pStyle w:val="a3"/>
        <w:ind w:left="567"/>
      </w:pPr>
      <w:r>
        <w:t>Приложение № 1 к приложению № 5</w:t>
      </w:r>
      <w:r w:rsidR="00000F2E">
        <w:t xml:space="preserve"> - Штрафы за нарушения в области ПБОТОС;</w:t>
      </w:r>
    </w:p>
    <w:p w14:paraId="662FC164" w14:textId="49754C4A" w:rsidR="00000F2E" w:rsidRDefault="00000F2E" w:rsidP="0036546E">
      <w:pPr>
        <w:pStyle w:val="a3"/>
        <w:ind w:left="567"/>
      </w:pPr>
      <w:r>
        <w:t>Приложение №2 к приложению №5 - Форма предоставления информации по охране</w:t>
      </w:r>
    </w:p>
    <w:p w14:paraId="7F641A56" w14:textId="2DE65826" w:rsidR="00000F2E" w:rsidRDefault="00000F2E" w:rsidP="0036546E">
      <w:pPr>
        <w:pStyle w:val="a3"/>
        <w:ind w:left="567"/>
      </w:pPr>
      <w:r>
        <w:t xml:space="preserve">                                           труда и безопасности дорожного движения от подрядчиков;</w:t>
      </w:r>
    </w:p>
    <w:p w14:paraId="78D07D32" w14:textId="26A9D77C" w:rsidR="00000F2E" w:rsidRDefault="00000F2E" w:rsidP="0036546E">
      <w:pPr>
        <w:pStyle w:val="a3"/>
        <w:ind w:left="567"/>
      </w:pPr>
      <w:r>
        <w:t>Приложение № 3 к приложению № 5- Перечень ЛНД в области ПБОТОС;</w:t>
      </w:r>
    </w:p>
    <w:p w14:paraId="4B594769" w14:textId="29E3FAE0" w:rsidR="004A0A14" w:rsidRDefault="004A0A14" w:rsidP="0036546E">
      <w:pPr>
        <w:pStyle w:val="a3"/>
        <w:ind w:left="567"/>
        <w:rPr>
          <w:bCs/>
        </w:rPr>
      </w:pPr>
      <w:r>
        <w:lastRenderedPageBreak/>
        <w:t>Приложение</w:t>
      </w:r>
      <w:r w:rsidR="007A0423">
        <w:t xml:space="preserve"> </w:t>
      </w:r>
      <w:r>
        <w:t xml:space="preserve">№6 – </w:t>
      </w:r>
      <w:r w:rsidRPr="00D64F45">
        <w:rPr>
          <w:bCs/>
        </w:rPr>
        <w:t>Штрафные санкции за нарушение пропускного и внутри</w:t>
      </w:r>
      <w:r w:rsidR="007A0423">
        <w:rPr>
          <w:bCs/>
        </w:rPr>
        <w:t xml:space="preserve"> </w:t>
      </w:r>
      <w:r w:rsidRPr="00D64F45">
        <w:rPr>
          <w:bCs/>
        </w:rPr>
        <w:t>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1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14"/>
    </w:p>
    <w:p w14:paraId="2A656ED4" w14:textId="535487E4" w:rsidR="007A0423" w:rsidRDefault="007A0423" w:rsidP="0036546E">
      <w:pPr>
        <w:pStyle w:val="a3"/>
        <w:ind w:left="567"/>
        <w:rPr>
          <w:bCs/>
        </w:rPr>
      </w:pPr>
      <w:r>
        <w:rPr>
          <w:bCs/>
        </w:rPr>
        <w:t>Приложение №7- Форма сдачи-приемки лома.</w:t>
      </w:r>
    </w:p>
    <w:p w14:paraId="6CEE2851" w14:textId="52855539" w:rsidR="00235181" w:rsidRDefault="00235181" w:rsidP="0036546E">
      <w:pPr>
        <w:pStyle w:val="a3"/>
        <w:ind w:left="567"/>
        <w:rPr>
          <w:bCs/>
        </w:rPr>
      </w:pPr>
      <w:r>
        <w:rPr>
          <w:bCs/>
        </w:rPr>
        <w:t>Приложение №8- Дополнение к договору.</w:t>
      </w:r>
    </w:p>
    <w:p w14:paraId="385F752B" w14:textId="306AE4BB" w:rsidR="00914D31" w:rsidRDefault="00914D31" w:rsidP="0036546E">
      <w:pPr>
        <w:pStyle w:val="a3"/>
        <w:ind w:left="567"/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871B8C" w14:paraId="312CADC3" w14:textId="77777777" w:rsidTr="00986406">
        <w:trPr>
          <w:trHeight w:val="992"/>
        </w:trPr>
        <w:tc>
          <w:tcPr>
            <w:tcW w:w="4786" w:type="dxa"/>
          </w:tcPr>
          <w:p w14:paraId="54580E7C" w14:textId="3FBA74AA" w:rsidR="005A653F" w:rsidRPr="0014066E" w:rsidRDefault="00C1120F" w:rsidP="0014066E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D020F4B" w14:textId="17987D21" w:rsidR="005A653F" w:rsidRPr="0014066E" w:rsidRDefault="009A28EE" w:rsidP="0014066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4A0686">
              <w:rPr>
                <w:b/>
                <w:bCs/>
              </w:rPr>
              <w:t>:</w:t>
            </w:r>
          </w:p>
          <w:p w14:paraId="5B4F7784" w14:textId="3B45F2BB" w:rsidR="009A28EE" w:rsidRPr="005A653F" w:rsidRDefault="005A653F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5A653F">
              <w:rPr>
                <w:b/>
                <w:lang w:val="en-US"/>
              </w:rPr>
              <w:t>.</w:t>
            </w:r>
            <w:r w:rsidR="00C0430C" w:rsidRPr="005A653F">
              <w:rPr>
                <w:b/>
                <w:lang w:val="en-US"/>
              </w:rPr>
              <w:t xml:space="preserve"> </w:t>
            </w:r>
            <w:r w:rsidR="009A28EE" w:rsidRPr="005A653F">
              <w:rPr>
                <w:b/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 w:rsidRPr="005A653F">
              <w:rPr>
                <w:lang w:val="en-US"/>
              </w:rPr>
              <w:instrText xml:space="preserve"> FORMTEXT </w:instrText>
            </w:r>
            <w:r w:rsidR="009F50EF">
              <w:fldChar w:fldCharType="separate"/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5A653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5A653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B969786" w:rsidR="00C0430C" w:rsidRPr="005A653F" w:rsidRDefault="009A28EE" w:rsidP="0014066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b/>
              </w:rPr>
              <w:fldChar w:fldCharType="end"/>
            </w:r>
            <w:r w:rsidR="00C0430C" w:rsidRPr="00C01CFB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="00C0430C" w:rsidRPr="005A653F">
              <w:rPr>
                <w:lang w:val="en-US"/>
              </w:rPr>
              <w:t>:</w:t>
            </w:r>
          </w:p>
        </w:tc>
        <w:tc>
          <w:tcPr>
            <w:tcW w:w="246" w:type="dxa"/>
            <w:gridSpan w:val="2"/>
          </w:tcPr>
          <w:p w14:paraId="77CB7422" w14:textId="77777777" w:rsidR="00C0430C" w:rsidRPr="005A653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29A6AEAE" w14:textId="02A4149D" w:rsidR="00B1280F" w:rsidRPr="0014066E" w:rsidRDefault="00C1120F" w:rsidP="0014066E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5DAFB703" w14:textId="74E3FAB7" w:rsidR="00B1280F" w:rsidRPr="0014066E" w:rsidRDefault="0014066E" w:rsidP="0014066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14:paraId="68F8251B" w14:textId="79C799BC" w:rsidR="009A28EE" w:rsidRPr="00456ACB" w:rsidRDefault="00B1280F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>Тел</w:t>
            </w:r>
            <w:r w:rsidRPr="00456ACB">
              <w:rPr>
                <w:b/>
              </w:rPr>
              <w:t>.</w:t>
            </w:r>
            <w:r w:rsidR="009A28EE" w:rsidRPr="00456ACB">
              <w:rPr>
                <w:b/>
              </w:rPr>
              <w:t xml:space="preserve"> </w:t>
            </w:r>
          </w:p>
          <w:p w14:paraId="12B47D04" w14:textId="4674B284" w:rsidR="009A28EE" w:rsidRPr="0032395D" w:rsidRDefault="00D12414" w:rsidP="0032395D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456ACB">
              <w:t xml:space="preserve"> </w:t>
            </w:r>
            <w:r w:rsidR="009A28EE" w:rsidRPr="00C0430C">
              <w:rPr>
                <w:lang w:val="en-US"/>
              </w:rPr>
              <w:t>E</w:t>
            </w:r>
            <w:r w:rsidR="009A28EE" w:rsidRPr="0032395D">
              <w:rPr>
                <w:lang w:val="en-US"/>
              </w:rPr>
              <w:t>-</w:t>
            </w:r>
            <w:r w:rsidR="009A28EE" w:rsidRPr="00C0430C">
              <w:rPr>
                <w:lang w:val="en-US"/>
              </w:rPr>
              <w:t>mail</w:t>
            </w:r>
            <w:r w:rsidR="009A28EE" w:rsidRPr="0032395D">
              <w:rPr>
                <w:lang w:val="en-US"/>
              </w:rPr>
              <w:t>:</w:t>
            </w:r>
            <w:r w:rsidRPr="0032395D">
              <w:rPr>
                <w:lang w:val="en-US"/>
              </w:rPr>
              <w:t xml:space="preserve"> </w:t>
            </w:r>
            <w:r w:rsidR="0032395D" w:rsidRPr="00D12414">
              <w:rPr>
                <w:lang w:val="en-US"/>
              </w:rPr>
              <w:t xml:space="preserve"> </w:t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4F44487D" w14:textId="5C44F126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</w:p>
          <w:p w14:paraId="099DD1C9" w14:textId="255819B2" w:rsidR="00C01CFB" w:rsidRPr="005167FB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685B9F4" w14:textId="24A52FC9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14:paraId="533B8661" w14:textId="2134EB31" w:rsidR="00C01CFB" w:rsidRPr="005167FB" w:rsidRDefault="0014066E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ОКВЭД</w:t>
            </w:r>
          </w:p>
          <w:p w14:paraId="7B94ADAF" w14:textId="11914CD5" w:rsidR="00C0430C" w:rsidRDefault="00C0430C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3DD6A9D4" w14:textId="2628D76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Р/счет</w:t>
            </w:r>
          </w:p>
          <w:p w14:paraId="6F3E0F3E" w14:textId="56772E8C" w:rsidR="00C01CFB" w:rsidRPr="002F568F" w:rsidRDefault="00C01CFB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</w:p>
          <w:p w14:paraId="3ADBA693" w14:textId="77777777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14:paraId="1792225B" w14:textId="5E05C7C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</w:t>
            </w:r>
          </w:p>
          <w:p w14:paraId="2F68A3C1" w14:textId="5927C497" w:rsidR="00DD62D9" w:rsidRPr="00C01CFB" w:rsidRDefault="00C01CFB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2F568F">
              <w:rPr>
                <w:b/>
                <w:color w:val="000000"/>
              </w:rPr>
              <w:t xml:space="preserve">БИК </w:t>
            </w: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623962BA" w:rsidR="00D52B68" w:rsidRPr="00D12414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ИНН</w:t>
            </w:r>
            <w:r w:rsidR="00D12414">
              <w:rPr>
                <w:b/>
                <w:bCs/>
                <w:iCs/>
              </w:rPr>
              <w:t xml:space="preserve"> </w:t>
            </w:r>
          </w:p>
          <w:p w14:paraId="6C1D490C" w14:textId="488A107E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3A8834CA" w14:textId="365FC449" w:rsidR="00C0430C" w:rsidRPr="004A0686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</w:p>
          <w:p w14:paraId="398F2989" w14:textId="45C04C4C" w:rsidR="0032395D" w:rsidRDefault="0014066E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ОКВЭД</w:t>
            </w:r>
          </w:p>
          <w:p w14:paraId="2FE7F0CB" w14:textId="598E0CD5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A837E74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4E7917C5" w14:textId="5D66A9FC" w:rsidR="00D52B68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1691B29E" w14:textId="12BB7E5F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AB773D7" w14:textId="0767E730" w:rsidR="004A0686" w:rsidRPr="0014066E" w:rsidRDefault="0014066E" w:rsidP="004A0686">
            <w:pPr>
              <w:pStyle w:val="a9"/>
              <w:spacing w:after="0"/>
              <w:ind w:left="0"/>
              <w:jc w:val="both"/>
              <w:rPr>
                <w:rFonts w:cs="Tahoma"/>
                <w:b/>
              </w:rPr>
            </w:pPr>
            <w:r w:rsidRPr="0014066E">
              <w:rPr>
                <w:rFonts w:cs="Tahoma"/>
                <w:b/>
              </w:rPr>
              <w:t>Банк</w:t>
            </w:r>
          </w:p>
          <w:p w14:paraId="73DBABE6" w14:textId="539BE1A1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2F1CD4C" w14:textId="77777777" w:rsidR="00C01CFB" w:rsidRDefault="00C01CFB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</w:p>
          <w:p w14:paraId="669802C6" w14:textId="25CA74DB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3C566C44" w14:textId="3371D53F" w:rsidR="00C01CFB" w:rsidRDefault="00C01CFB" w:rsidP="00C0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4F02" w14:textId="77777777" w:rsidR="00C01CFB" w:rsidRPr="0084692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84692F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  <w:t xml:space="preserve"> </w:t>
            </w:r>
          </w:p>
          <w:p w14:paraId="74FBA3C4" w14:textId="3AAFDEF1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20D7E58E" w14:textId="77777777" w:rsidR="00C01CFB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14:paraId="4A92E3E0" w14:textId="776D3DC1" w:rsidR="00C01CFB" w:rsidRPr="002F568F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4471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78E345B2" w14:textId="304C6CDB" w:rsidR="00C0430C" w:rsidRPr="00C01CFB" w:rsidRDefault="00C0430C" w:rsidP="00117725">
            <w:pPr>
              <w:pStyle w:val="a5"/>
              <w:rPr>
                <w:b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11CEC59C" w14:textId="77777777" w:rsidR="00C01CFB" w:rsidRDefault="00C01CFB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6A2504DF" w:rsidR="00C0430C" w:rsidRPr="00D538D8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027C1F16" w14:textId="3F90E506" w:rsidR="00C77B9D" w:rsidRDefault="00C77B9D" w:rsidP="00C77B9D">
            <w:pPr>
              <w:pStyle w:val="a5"/>
            </w:pPr>
          </w:p>
          <w:p w14:paraId="1B8E6381" w14:textId="45E6388E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34AEE93A" w14:textId="77777777" w:rsidR="00A54649" w:rsidRPr="00C0430C" w:rsidRDefault="00A54649" w:rsidP="00C77B9D">
            <w:pPr>
              <w:pStyle w:val="a5"/>
            </w:pPr>
          </w:p>
          <w:p w14:paraId="7AAC5C5C" w14:textId="6B5FDCF9" w:rsidR="00A54649" w:rsidRPr="002F568F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4471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15" w:name="_GoBack"/>
            <w:bookmarkEnd w:id="15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BDD77" w14:textId="77777777" w:rsidR="009F50EF" w:rsidRDefault="009F50EF" w:rsidP="002B5D5A">
      <w:pPr>
        <w:spacing w:after="0" w:line="240" w:lineRule="auto"/>
      </w:pPr>
      <w:r>
        <w:separator/>
      </w:r>
    </w:p>
  </w:endnote>
  <w:endnote w:type="continuationSeparator" w:id="0">
    <w:p w14:paraId="46D21379" w14:textId="77777777" w:rsidR="009F50EF" w:rsidRDefault="009F50E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2CE38FFB" w:rsidR="003A6BB8" w:rsidRDefault="005B1D5B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БН_/П/__/___</w:t>
    </w:r>
    <w:r w:rsidR="00D638B4">
      <w:rPr>
        <w:rFonts w:asciiTheme="majorHAnsi" w:eastAsiaTheme="majorEastAsia" w:hAnsiTheme="majorHAnsi" w:cstheme="majorBidi"/>
      </w:rPr>
      <w:t>/25</w:t>
    </w:r>
    <w:r w:rsidR="00265439" w:rsidRPr="00265439">
      <w:rPr>
        <w:rFonts w:asciiTheme="majorHAnsi" w:eastAsiaTheme="majorEastAsia" w:hAnsiTheme="majorHAnsi" w:cstheme="majorBidi"/>
      </w:rPr>
      <w:t>/МТС</w:t>
    </w:r>
    <w:r w:rsidR="003A6BB8" w:rsidRPr="002E79C0">
      <w:rPr>
        <w:rFonts w:asciiTheme="majorHAnsi" w:eastAsiaTheme="majorEastAsia" w:hAnsiTheme="majorHAnsi" w:cstheme="majorBidi"/>
      </w:rPr>
      <w:ptab w:relativeTo="margin" w:alignment="right" w:leader="none"/>
    </w:r>
    <w:r w:rsidR="003A6BB8" w:rsidRPr="002E79C0">
      <w:rPr>
        <w:rFonts w:asciiTheme="majorHAnsi" w:eastAsiaTheme="majorEastAsia" w:hAnsiTheme="majorHAnsi" w:cstheme="majorBidi"/>
      </w:rPr>
      <w:t xml:space="preserve">Страница </w:t>
    </w:r>
    <w:r w:rsidR="003A6BB8" w:rsidRPr="002E79C0">
      <w:rPr>
        <w:rFonts w:asciiTheme="minorHAnsi" w:eastAsiaTheme="minorEastAsia" w:hAnsiTheme="minorHAnsi" w:cstheme="minorBidi"/>
      </w:rPr>
      <w:fldChar w:fldCharType="begin"/>
    </w:r>
    <w:r w:rsidR="003A6BB8" w:rsidRPr="002E79C0">
      <w:instrText>PAGE   \* MERGEFORMAT</w:instrText>
    </w:r>
    <w:r w:rsidR="003A6BB8" w:rsidRPr="002E79C0">
      <w:rPr>
        <w:rFonts w:asciiTheme="minorHAnsi" w:eastAsiaTheme="minorEastAsia" w:hAnsiTheme="minorHAnsi" w:cstheme="minorBidi"/>
      </w:rPr>
      <w:fldChar w:fldCharType="separate"/>
    </w:r>
    <w:r w:rsidR="00447101" w:rsidRPr="00447101">
      <w:rPr>
        <w:rFonts w:asciiTheme="majorHAnsi" w:eastAsiaTheme="majorEastAsia" w:hAnsiTheme="majorHAnsi" w:cstheme="majorBidi"/>
        <w:noProof/>
      </w:rPr>
      <w:t>9</w:t>
    </w:r>
    <w:r w:rsidR="003A6BB8"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794CE" w14:textId="77777777" w:rsidR="009F50EF" w:rsidRDefault="009F50EF" w:rsidP="002B5D5A">
      <w:pPr>
        <w:spacing w:after="0" w:line="240" w:lineRule="auto"/>
      </w:pPr>
      <w:r>
        <w:separator/>
      </w:r>
    </w:p>
  </w:footnote>
  <w:footnote w:type="continuationSeparator" w:id="0">
    <w:p w14:paraId="492C0272" w14:textId="77777777" w:rsidR="009F50EF" w:rsidRDefault="009F50E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F2E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144"/>
    <w:rsid w:val="00115C7F"/>
    <w:rsid w:val="00116B79"/>
    <w:rsid w:val="00117725"/>
    <w:rsid w:val="00121642"/>
    <w:rsid w:val="00123690"/>
    <w:rsid w:val="001248A9"/>
    <w:rsid w:val="001366C2"/>
    <w:rsid w:val="0014066E"/>
    <w:rsid w:val="001410F7"/>
    <w:rsid w:val="00142472"/>
    <w:rsid w:val="001436CA"/>
    <w:rsid w:val="00143795"/>
    <w:rsid w:val="001437B2"/>
    <w:rsid w:val="001462DD"/>
    <w:rsid w:val="001515F7"/>
    <w:rsid w:val="00165416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11AC8"/>
    <w:rsid w:val="00221777"/>
    <w:rsid w:val="00230BA0"/>
    <w:rsid w:val="0023158C"/>
    <w:rsid w:val="00235181"/>
    <w:rsid w:val="00255D79"/>
    <w:rsid w:val="0026116F"/>
    <w:rsid w:val="00265439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2395D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D3A3C"/>
    <w:rsid w:val="003D5453"/>
    <w:rsid w:val="003E3E13"/>
    <w:rsid w:val="003E59DF"/>
    <w:rsid w:val="003F65EC"/>
    <w:rsid w:val="00404A0D"/>
    <w:rsid w:val="00407139"/>
    <w:rsid w:val="00424485"/>
    <w:rsid w:val="00426817"/>
    <w:rsid w:val="00427C87"/>
    <w:rsid w:val="00427D17"/>
    <w:rsid w:val="00427FF1"/>
    <w:rsid w:val="00432008"/>
    <w:rsid w:val="004351FD"/>
    <w:rsid w:val="00435E4D"/>
    <w:rsid w:val="00437E77"/>
    <w:rsid w:val="00445732"/>
    <w:rsid w:val="00447101"/>
    <w:rsid w:val="004509CE"/>
    <w:rsid w:val="00456ACB"/>
    <w:rsid w:val="00471691"/>
    <w:rsid w:val="004813E7"/>
    <w:rsid w:val="0049493F"/>
    <w:rsid w:val="004A0686"/>
    <w:rsid w:val="004A0A14"/>
    <w:rsid w:val="004B39C1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06E2A"/>
    <w:rsid w:val="00511E8C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4A8B"/>
    <w:rsid w:val="005A2E83"/>
    <w:rsid w:val="005A3409"/>
    <w:rsid w:val="005A653F"/>
    <w:rsid w:val="005A6A5B"/>
    <w:rsid w:val="005A6CA0"/>
    <w:rsid w:val="005B1D5B"/>
    <w:rsid w:val="005B6A10"/>
    <w:rsid w:val="005B6C36"/>
    <w:rsid w:val="005C6989"/>
    <w:rsid w:val="005C7396"/>
    <w:rsid w:val="005D0548"/>
    <w:rsid w:val="005D1E56"/>
    <w:rsid w:val="005D4527"/>
    <w:rsid w:val="005E082C"/>
    <w:rsid w:val="005E75BB"/>
    <w:rsid w:val="005F0C4F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6431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B6C02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22E8"/>
    <w:rsid w:val="00741A02"/>
    <w:rsid w:val="007426DC"/>
    <w:rsid w:val="0075122B"/>
    <w:rsid w:val="00755E55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0423"/>
    <w:rsid w:val="007A2947"/>
    <w:rsid w:val="007A4B88"/>
    <w:rsid w:val="007A76F8"/>
    <w:rsid w:val="007B6B69"/>
    <w:rsid w:val="007C7ADF"/>
    <w:rsid w:val="007C7F55"/>
    <w:rsid w:val="007D1DA9"/>
    <w:rsid w:val="007D3A91"/>
    <w:rsid w:val="007D4FB7"/>
    <w:rsid w:val="007E1DEA"/>
    <w:rsid w:val="007E3733"/>
    <w:rsid w:val="007E4F3C"/>
    <w:rsid w:val="007E7C47"/>
    <w:rsid w:val="007F3380"/>
    <w:rsid w:val="00802237"/>
    <w:rsid w:val="0080538E"/>
    <w:rsid w:val="00810891"/>
    <w:rsid w:val="0081681A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B8C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37E7B"/>
    <w:rsid w:val="00947B78"/>
    <w:rsid w:val="00955896"/>
    <w:rsid w:val="00977034"/>
    <w:rsid w:val="009774EB"/>
    <w:rsid w:val="00986406"/>
    <w:rsid w:val="009A28EE"/>
    <w:rsid w:val="009A685C"/>
    <w:rsid w:val="009A7402"/>
    <w:rsid w:val="009A769D"/>
    <w:rsid w:val="009B001E"/>
    <w:rsid w:val="009B156A"/>
    <w:rsid w:val="009B161C"/>
    <w:rsid w:val="009B2217"/>
    <w:rsid w:val="009E1550"/>
    <w:rsid w:val="009E5B4D"/>
    <w:rsid w:val="009F50EF"/>
    <w:rsid w:val="00A044C2"/>
    <w:rsid w:val="00A102BD"/>
    <w:rsid w:val="00A235C5"/>
    <w:rsid w:val="00A35F50"/>
    <w:rsid w:val="00A44993"/>
    <w:rsid w:val="00A44E0C"/>
    <w:rsid w:val="00A47012"/>
    <w:rsid w:val="00A54649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1635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1280F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1CFB"/>
    <w:rsid w:val="00C0430C"/>
    <w:rsid w:val="00C1120F"/>
    <w:rsid w:val="00C11DBD"/>
    <w:rsid w:val="00C12C71"/>
    <w:rsid w:val="00C16305"/>
    <w:rsid w:val="00C246C2"/>
    <w:rsid w:val="00C43508"/>
    <w:rsid w:val="00C52B42"/>
    <w:rsid w:val="00C65577"/>
    <w:rsid w:val="00C70914"/>
    <w:rsid w:val="00C77B9D"/>
    <w:rsid w:val="00C81759"/>
    <w:rsid w:val="00C82350"/>
    <w:rsid w:val="00C83C5D"/>
    <w:rsid w:val="00CA4C3E"/>
    <w:rsid w:val="00CB20FC"/>
    <w:rsid w:val="00CC6C00"/>
    <w:rsid w:val="00CE023E"/>
    <w:rsid w:val="00CE1FEB"/>
    <w:rsid w:val="00CE68F4"/>
    <w:rsid w:val="00CF290A"/>
    <w:rsid w:val="00CF3D11"/>
    <w:rsid w:val="00D12414"/>
    <w:rsid w:val="00D42FAB"/>
    <w:rsid w:val="00D43FFB"/>
    <w:rsid w:val="00D456F2"/>
    <w:rsid w:val="00D502CA"/>
    <w:rsid w:val="00D51397"/>
    <w:rsid w:val="00D52B68"/>
    <w:rsid w:val="00D538D8"/>
    <w:rsid w:val="00D54844"/>
    <w:rsid w:val="00D55DD7"/>
    <w:rsid w:val="00D638B4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32855"/>
    <w:rsid w:val="00E33E4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45A8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457FC"/>
    <w:rsid w:val="00F461B7"/>
    <w:rsid w:val="00F47B6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7575F-D387-4117-BE8A-77706532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4144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Дусеев Рустем Наилевич</cp:lastModifiedBy>
  <cp:revision>30</cp:revision>
  <dcterms:created xsi:type="dcterms:W3CDTF">2024-01-18T04:33:00Z</dcterms:created>
  <dcterms:modified xsi:type="dcterms:W3CDTF">2025-10-21T09:54:00Z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